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C1121" w14:textId="77777777" w:rsidR="00A25520" w:rsidRDefault="00D21871">
      <w:r>
        <w:rPr>
          <w:noProof/>
        </w:rPr>
        <w:drawing>
          <wp:anchor distT="0" distB="0" distL="114300" distR="114300" simplePos="0" relativeHeight="251658240" behindDoc="0" locked="0" layoutInCell="1" allowOverlap="1" wp14:anchorId="006A8DAA" wp14:editId="12C960D8">
            <wp:simplePos x="0" y="0"/>
            <wp:positionH relativeFrom="margin">
              <wp:posOffset>2400300</wp:posOffset>
            </wp:positionH>
            <wp:positionV relativeFrom="margin">
              <wp:posOffset>-685800</wp:posOffset>
            </wp:positionV>
            <wp:extent cx="3722370" cy="1438910"/>
            <wp:effectExtent l="0" t="0" r="11430" b="8890"/>
            <wp:wrapTight wrapText="bothSides">
              <wp:wrapPolygon edited="0">
                <wp:start x="0" y="0"/>
                <wp:lineTo x="0" y="21352"/>
                <wp:lineTo x="21519" y="21352"/>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SA.jpg"/>
                    <pic:cNvPicPr/>
                  </pic:nvPicPr>
                  <pic:blipFill>
                    <a:blip r:embed="rId5">
                      <a:extLst>
                        <a:ext uri="{28A0092B-C50C-407E-A947-70E740481C1C}">
                          <a14:useLocalDpi xmlns:a14="http://schemas.microsoft.com/office/drawing/2010/main" val="0"/>
                        </a:ext>
                      </a:extLst>
                    </a:blip>
                    <a:stretch>
                      <a:fillRect/>
                    </a:stretch>
                  </pic:blipFill>
                  <pic:spPr>
                    <a:xfrm>
                      <a:off x="0" y="0"/>
                      <a:ext cx="3722370" cy="1438910"/>
                    </a:xfrm>
                    <a:prstGeom prst="rect">
                      <a:avLst/>
                    </a:prstGeom>
                  </pic:spPr>
                </pic:pic>
              </a:graphicData>
            </a:graphic>
            <wp14:sizeRelH relativeFrom="margin">
              <wp14:pctWidth>0</wp14:pctWidth>
            </wp14:sizeRelH>
            <wp14:sizeRelV relativeFrom="margin">
              <wp14:pctHeight>0</wp14:pctHeight>
            </wp14:sizeRelV>
          </wp:anchor>
        </w:drawing>
      </w:r>
    </w:p>
    <w:p w14:paraId="0EA9E5CD" w14:textId="77777777" w:rsidR="00E97B44" w:rsidRDefault="00E97B44">
      <w:pPr>
        <w:rPr>
          <w:b/>
        </w:rPr>
      </w:pPr>
    </w:p>
    <w:p w14:paraId="26E18F8A" w14:textId="77777777" w:rsidR="00E97B44" w:rsidRDefault="00E97B44">
      <w:pPr>
        <w:rPr>
          <w:b/>
        </w:rPr>
      </w:pPr>
    </w:p>
    <w:p w14:paraId="364C5F19" w14:textId="77777777" w:rsidR="00E97B44" w:rsidRDefault="00E97B44">
      <w:pPr>
        <w:rPr>
          <w:b/>
        </w:rPr>
      </w:pPr>
    </w:p>
    <w:p w14:paraId="2AE9243D" w14:textId="77777777" w:rsidR="000A4A4C" w:rsidRDefault="000A4A4C">
      <w:pPr>
        <w:rPr>
          <w:rFonts w:ascii="Verdana" w:hAnsi="Verdana"/>
          <w:b/>
          <w:sz w:val="22"/>
          <w:szCs w:val="22"/>
          <w:highlight w:val="yellow"/>
        </w:rPr>
      </w:pPr>
    </w:p>
    <w:p w14:paraId="4D20100D" w14:textId="2EFC043A" w:rsidR="00983253" w:rsidRPr="00B514D9" w:rsidRDefault="0082454D">
      <w:pPr>
        <w:rPr>
          <w:rFonts w:ascii="Verdana" w:hAnsi="Verdana"/>
          <w:b/>
          <w:sz w:val="22"/>
          <w:szCs w:val="22"/>
          <w:lang w:val="en-GB"/>
        </w:rPr>
      </w:pPr>
      <w:r>
        <w:rPr>
          <w:rFonts w:ascii="Verdana" w:hAnsi="Verdana"/>
          <w:b/>
          <w:sz w:val="22"/>
          <w:szCs w:val="22"/>
          <w:lang w:val="en-GB"/>
        </w:rPr>
        <w:t>1</w:t>
      </w:r>
      <w:r w:rsidR="00333D72">
        <w:rPr>
          <w:rFonts w:ascii="Verdana" w:hAnsi="Verdana"/>
          <w:b/>
          <w:sz w:val="22"/>
          <w:szCs w:val="22"/>
          <w:lang w:val="en-GB"/>
        </w:rPr>
        <w:t>5</w:t>
      </w:r>
      <w:r w:rsidR="0021528C" w:rsidRPr="0082454D">
        <w:rPr>
          <w:rFonts w:ascii="Verdana" w:hAnsi="Verdana"/>
          <w:b/>
          <w:sz w:val="22"/>
          <w:szCs w:val="22"/>
          <w:lang w:val="en-GB"/>
        </w:rPr>
        <w:t xml:space="preserve"> </w:t>
      </w:r>
      <w:r w:rsidR="00C176B4" w:rsidRPr="0082454D">
        <w:rPr>
          <w:rFonts w:ascii="Verdana" w:hAnsi="Verdana"/>
          <w:b/>
          <w:sz w:val="22"/>
          <w:szCs w:val="22"/>
          <w:lang w:val="en-GB"/>
        </w:rPr>
        <w:t>June</w:t>
      </w:r>
      <w:r w:rsidR="0021528C" w:rsidRPr="0082454D">
        <w:rPr>
          <w:rFonts w:ascii="Verdana" w:hAnsi="Verdana"/>
          <w:b/>
          <w:sz w:val="22"/>
          <w:szCs w:val="22"/>
          <w:lang w:val="en-GB"/>
        </w:rPr>
        <w:t xml:space="preserve"> 20</w:t>
      </w:r>
      <w:r w:rsidR="00AC6D69" w:rsidRPr="0082454D">
        <w:rPr>
          <w:rFonts w:ascii="Verdana" w:hAnsi="Verdana"/>
          <w:b/>
          <w:sz w:val="22"/>
          <w:szCs w:val="22"/>
          <w:lang w:val="en-GB"/>
        </w:rPr>
        <w:t>20</w:t>
      </w:r>
    </w:p>
    <w:p w14:paraId="62149F08" w14:textId="77777777" w:rsidR="00983253" w:rsidRPr="00B514D9" w:rsidRDefault="00983253" w:rsidP="00D14A1E">
      <w:pPr>
        <w:jc w:val="center"/>
        <w:rPr>
          <w:rFonts w:ascii="Verdana" w:hAnsi="Verdana"/>
          <w:b/>
          <w:sz w:val="22"/>
          <w:szCs w:val="22"/>
          <w:lang w:val="en-GB"/>
        </w:rPr>
      </w:pPr>
      <w:r w:rsidRPr="00B514D9">
        <w:rPr>
          <w:rFonts w:ascii="Verdana" w:hAnsi="Verdana"/>
          <w:b/>
          <w:sz w:val="22"/>
          <w:szCs w:val="22"/>
          <w:lang w:val="en-GB"/>
        </w:rPr>
        <w:t>PRESS RELEASE</w:t>
      </w:r>
    </w:p>
    <w:p w14:paraId="4C25EDB7" w14:textId="77777777" w:rsidR="00983253" w:rsidRPr="00B514D9" w:rsidRDefault="00983253" w:rsidP="00983253">
      <w:pPr>
        <w:jc w:val="center"/>
        <w:rPr>
          <w:rFonts w:ascii="Verdana" w:hAnsi="Verdana"/>
          <w:b/>
          <w:sz w:val="22"/>
          <w:szCs w:val="22"/>
          <w:lang w:val="en-GB"/>
        </w:rPr>
      </w:pPr>
    </w:p>
    <w:p w14:paraId="126B211B" w14:textId="77777777" w:rsidR="00B46166" w:rsidRPr="00B514D9" w:rsidRDefault="00B46166" w:rsidP="00F25D82">
      <w:pPr>
        <w:jc w:val="center"/>
        <w:rPr>
          <w:rFonts w:ascii="Verdana" w:hAnsi="Verdana"/>
          <w:b/>
          <w:lang w:val="en-GB"/>
        </w:rPr>
      </w:pPr>
      <w:r>
        <w:rPr>
          <w:rFonts w:ascii="Verdana" w:hAnsi="Verdana"/>
          <w:b/>
          <w:lang w:val="en-GB"/>
        </w:rPr>
        <w:t xml:space="preserve">Codex Vice-Chair launches IADSA video </w:t>
      </w:r>
      <w:r w:rsidR="00BD35A4">
        <w:rPr>
          <w:rFonts w:ascii="Verdana" w:hAnsi="Verdana"/>
          <w:b/>
          <w:lang w:val="en-GB"/>
        </w:rPr>
        <w:br/>
      </w:r>
      <w:r>
        <w:rPr>
          <w:rFonts w:ascii="Verdana" w:hAnsi="Verdana"/>
          <w:b/>
          <w:lang w:val="en-GB"/>
        </w:rPr>
        <w:t>on global supplement rules</w:t>
      </w:r>
    </w:p>
    <w:p w14:paraId="32E1D370" w14:textId="77777777" w:rsidR="00983253" w:rsidRPr="00B514D9" w:rsidRDefault="00983253" w:rsidP="00983253">
      <w:pPr>
        <w:jc w:val="center"/>
        <w:rPr>
          <w:rFonts w:ascii="Verdana" w:hAnsi="Verdana"/>
          <w:b/>
          <w:sz w:val="22"/>
          <w:szCs w:val="22"/>
          <w:lang w:val="en-GB"/>
        </w:rPr>
      </w:pPr>
    </w:p>
    <w:p w14:paraId="1C79463B" w14:textId="77777777" w:rsidR="00C56A69" w:rsidRPr="00DD04BC" w:rsidRDefault="00767D92" w:rsidP="008E4544">
      <w:pPr>
        <w:rPr>
          <w:rFonts w:ascii="Verdana" w:hAnsi="Verdana"/>
          <w:sz w:val="22"/>
          <w:szCs w:val="22"/>
          <w:lang w:val="en-GB"/>
        </w:rPr>
      </w:pPr>
      <w:r w:rsidRPr="00DD04BC">
        <w:rPr>
          <w:rFonts w:ascii="Verdana" w:hAnsi="Verdana"/>
          <w:sz w:val="22"/>
          <w:szCs w:val="22"/>
          <w:lang w:val="en-GB"/>
        </w:rPr>
        <w:t>IADSA</w:t>
      </w:r>
      <w:r w:rsidR="00797F84" w:rsidRPr="00DD04BC">
        <w:rPr>
          <w:rFonts w:ascii="Verdana" w:hAnsi="Verdana"/>
          <w:sz w:val="22"/>
          <w:szCs w:val="22"/>
          <w:lang w:val="en-GB"/>
        </w:rPr>
        <w:t xml:space="preserve"> </w:t>
      </w:r>
      <w:r w:rsidR="008E4544" w:rsidRPr="00DD04BC">
        <w:rPr>
          <w:rFonts w:ascii="Verdana" w:hAnsi="Verdana"/>
          <w:sz w:val="22"/>
          <w:szCs w:val="22"/>
          <w:lang w:val="en-GB"/>
        </w:rPr>
        <w:t xml:space="preserve">has </w:t>
      </w:r>
      <w:r w:rsidR="006B46E2" w:rsidRPr="00DD04BC">
        <w:rPr>
          <w:rFonts w:ascii="Verdana" w:hAnsi="Verdana"/>
          <w:sz w:val="22"/>
          <w:szCs w:val="22"/>
          <w:lang w:val="en-GB"/>
        </w:rPr>
        <w:t>released</w:t>
      </w:r>
      <w:r w:rsidR="008E4544" w:rsidRPr="00DD04BC">
        <w:rPr>
          <w:rFonts w:ascii="Verdana" w:hAnsi="Verdana"/>
          <w:sz w:val="22"/>
          <w:szCs w:val="22"/>
          <w:lang w:val="en-GB"/>
        </w:rPr>
        <w:t xml:space="preserve"> a </w:t>
      </w:r>
      <w:r w:rsidR="00250750">
        <w:rPr>
          <w:rFonts w:ascii="Verdana" w:hAnsi="Verdana"/>
          <w:sz w:val="22"/>
          <w:szCs w:val="22"/>
          <w:lang w:val="en-GB"/>
        </w:rPr>
        <w:t>short</w:t>
      </w:r>
      <w:r w:rsidR="00250750" w:rsidRPr="00DD04BC">
        <w:rPr>
          <w:rFonts w:ascii="Verdana" w:hAnsi="Verdana"/>
          <w:sz w:val="22"/>
          <w:szCs w:val="22"/>
          <w:lang w:val="en-GB"/>
        </w:rPr>
        <w:t xml:space="preserve"> </w:t>
      </w:r>
      <w:r w:rsidR="008E4544" w:rsidRPr="00DD04BC">
        <w:rPr>
          <w:rFonts w:ascii="Verdana" w:hAnsi="Verdana"/>
          <w:sz w:val="22"/>
          <w:szCs w:val="22"/>
          <w:lang w:val="en-GB"/>
        </w:rPr>
        <w:t xml:space="preserve">video </w:t>
      </w:r>
      <w:r w:rsidR="00797F84" w:rsidRPr="00DD04BC">
        <w:rPr>
          <w:rFonts w:ascii="Verdana" w:hAnsi="Verdana"/>
          <w:sz w:val="22"/>
          <w:szCs w:val="22"/>
          <w:lang w:val="en-GB"/>
        </w:rPr>
        <w:t>explaining</w:t>
      </w:r>
      <w:r w:rsidR="008E4544" w:rsidRPr="00DD04BC">
        <w:rPr>
          <w:rFonts w:ascii="Verdana" w:hAnsi="Verdana"/>
          <w:sz w:val="22"/>
          <w:szCs w:val="22"/>
          <w:lang w:val="en-GB"/>
        </w:rPr>
        <w:t xml:space="preserve"> the critical role of Codex Alimentarius in the </w:t>
      </w:r>
      <w:r w:rsidR="00E82A43" w:rsidRPr="00DD04BC">
        <w:rPr>
          <w:rFonts w:ascii="Verdana" w:hAnsi="Verdana"/>
          <w:sz w:val="22"/>
          <w:szCs w:val="22"/>
          <w:lang w:val="en-GB"/>
        </w:rPr>
        <w:t xml:space="preserve">global </w:t>
      </w:r>
      <w:r w:rsidR="008E4544" w:rsidRPr="00DD04BC">
        <w:rPr>
          <w:rFonts w:ascii="Verdana" w:hAnsi="Verdana"/>
          <w:sz w:val="22"/>
          <w:szCs w:val="22"/>
          <w:lang w:val="en-GB"/>
        </w:rPr>
        <w:t>regulation of food supplements.</w:t>
      </w:r>
      <w:r w:rsidR="0007682F" w:rsidRPr="00DD04BC">
        <w:rPr>
          <w:rFonts w:ascii="Verdana" w:hAnsi="Verdana"/>
          <w:sz w:val="22"/>
          <w:szCs w:val="22"/>
          <w:lang w:val="en-GB"/>
        </w:rPr>
        <w:t xml:space="preserve"> </w:t>
      </w:r>
    </w:p>
    <w:p w14:paraId="73881767" w14:textId="77777777" w:rsidR="00C56A69" w:rsidRPr="00DD04BC" w:rsidRDefault="00C56A69" w:rsidP="008E4544">
      <w:pPr>
        <w:rPr>
          <w:rFonts w:ascii="Verdana" w:hAnsi="Verdana"/>
          <w:sz w:val="22"/>
          <w:szCs w:val="22"/>
          <w:lang w:val="en-GB"/>
        </w:rPr>
      </w:pPr>
    </w:p>
    <w:p w14:paraId="46F6BFAE" w14:textId="63400B16" w:rsidR="00797F84" w:rsidRPr="00DD04BC" w:rsidRDefault="00E82A43" w:rsidP="008E4544">
      <w:pPr>
        <w:rPr>
          <w:rFonts w:ascii="Verdana" w:hAnsi="Verdana"/>
          <w:sz w:val="22"/>
          <w:szCs w:val="22"/>
          <w:lang w:val="en-GB"/>
        </w:rPr>
      </w:pPr>
      <w:r w:rsidRPr="00DD04BC">
        <w:rPr>
          <w:rFonts w:ascii="Verdana" w:hAnsi="Verdana"/>
          <w:sz w:val="22"/>
          <w:szCs w:val="22"/>
          <w:lang w:val="en-GB"/>
        </w:rPr>
        <w:t>T</w:t>
      </w:r>
      <w:r w:rsidR="008E4544" w:rsidRPr="00DD04BC">
        <w:rPr>
          <w:rFonts w:ascii="Verdana" w:hAnsi="Verdana"/>
          <w:sz w:val="22"/>
          <w:szCs w:val="22"/>
          <w:lang w:val="en-GB"/>
        </w:rPr>
        <w:t>h</w:t>
      </w:r>
      <w:r w:rsidR="00FB4788">
        <w:rPr>
          <w:rFonts w:ascii="Verdana" w:hAnsi="Verdana"/>
          <w:sz w:val="22"/>
          <w:szCs w:val="22"/>
          <w:lang w:val="en-GB"/>
        </w:rPr>
        <w:t>e video</w:t>
      </w:r>
      <w:r w:rsidR="008E4544" w:rsidRPr="00DD04BC">
        <w:rPr>
          <w:rFonts w:ascii="Verdana" w:hAnsi="Verdana"/>
          <w:sz w:val="22"/>
          <w:szCs w:val="22"/>
          <w:lang w:val="en-GB"/>
        </w:rPr>
        <w:t xml:space="preserve"> </w:t>
      </w:r>
      <w:r w:rsidR="00797F84" w:rsidRPr="00DD04BC">
        <w:rPr>
          <w:rFonts w:ascii="Verdana" w:hAnsi="Verdana"/>
          <w:sz w:val="22"/>
          <w:szCs w:val="22"/>
          <w:lang w:val="en-GB"/>
        </w:rPr>
        <w:t xml:space="preserve">was launched </w:t>
      </w:r>
      <w:r w:rsidR="006B46E2" w:rsidRPr="00DD04BC">
        <w:rPr>
          <w:rFonts w:ascii="Verdana" w:hAnsi="Verdana" w:cstheme="majorHAnsi"/>
          <w:sz w:val="22"/>
          <w:szCs w:val="22"/>
          <w:lang w:val="en-GB"/>
        </w:rPr>
        <w:t xml:space="preserve">on 12 June 2020 </w:t>
      </w:r>
      <w:r w:rsidR="00797F84" w:rsidRPr="00DD04BC">
        <w:rPr>
          <w:rFonts w:ascii="Verdana" w:hAnsi="Verdana"/>
          <w:sz w:val="22"/>
          <w:szCs w:val="22"/>
          <w:lang w:val="en-GB"/>
        </w:rPr>
        <w:t>by Steve Wearne, Vice-Chair</w:t>
      </w:r>
      <w:r w:rsidR="00656B61">
        <w:rPr>
          <w:rFonts w:ascii="Verdana" w:hAnsi="Verdana"/>
          <w:sz w:val="22"/>
          <w:szCs w:val="22"/>
          <w:lang w:val="en-GB"/>
        </w:rPr>
        <w:t xml:space="preserve"> of the Codex Alimentarius Commission</w:t>
      </w:r>
      <w:r w:rsidR="00797F84" w:rsidRPr="00DD04BC">
        <w:rPr>
          <w:rFonts w:ascii="Verdana" w:hAnsi="Verdana"/>
          <w:sz w:val="22"/>
          <w:szCs w:val="22"/>
          <w:lang w:val="en-GB"/>
        </w:rPr>
        <w:t xml:space="preserve">, </w:t>
      </w:r>
      <w:r w:rsidR="00797F84" w:rsidRPr="00DD04BC">
        <w:rPr>
          <w:rFonts w:ascii="Verdana" w:hAnsi="Verdana" w:cstheme="majorHAnsi"/>
          <w:sz w:val="22"/>
          <w:szCs w:val="22"/>
          <w:lang w:val="en-GB"/>
        </w:rPr>
        <w:t>during IADSA’s ‘100 Minutes’ online member meeting.</w:t>
      </w:r>
      <w:r w:rsidRPr="00DD04BC">
        <w:rPr>
          <w:rFonts w:ascii="Verdana" w:hAnsi="Verdana" w:cstheme="majorHAnsi"/>
          <w:sz w:val="22"/>
          <w:szCs w:val="22"/>
          <w:lang w:val="en-GB"/>
        </w:rPr>
        <w:t xml:space="preserve"> </w:t>
      </w:r>
      <w:r w:rsidRPr="00DD04BC">
        <w:rPr>
          <w:rFonts w:ascii="Verdana" w:hAnsi="Verdana"/>
          <w:sz w:val="22"/>
          <w:szCs w:val="22"/>
          <w:lang w:val="en-GB"/>
        </w:rPr>
        <w:t xml:space="preserve">It is available to view at </w:t>
      </w:r>
      <w:hyperlink r:id="rId6" w:history="1">
        <w:r w:rsidR="005A22D0" w:rsidRPr="005A22D0">
          <w:rPr>
            <w:rStyle w:val="Hyperlink"/>
            <w:rFonts w:ascii="Verdana" w:hAnsi="Verdana"/>
            <w:sz w:val="22"/>
            <w:szCs w:val="22"/>
            <w:lang w:val="en-GB"/>
          </w:rPr>
          <w:t>iadsa.org/resources/34</w:t>
        </w:r>
      </w:hyperlink>
      <w:r w:rsidR="005A22D0">
        <w:rPr>
          <w:rFonts w:ascii="Verdana" w:hAnsi="Verdana"/>
          <w:sz w:val="22"/>
          <w:szCs w:val="22"/>
          <w:lang w:val="en-GB"/>
        </w:rPr>
        <w:t>.</w:t>
      </w:r>
    </w:p>
    <w:p w14:paraId="03245A65" w14:textId="77777777" w:rsidR="00797F84" w:rsidRPr="00DD04BC" w:rsidRDefault="00797F84" w:rsidP="008E4544">
      <w:pPr>
        <w:rPr>
          <w:rFonts w:ascii="Verdana" w:hAnsi="Verdana"/>
          <w:sz w:val="22"/>
          <w:szCs w:val="22"/>
          <w:lang w:val="en-GB"/>
        </w:rPr>
      </w:pPr>
    </w:p>
    <w:p w14:paraId="24AC828D" w14:textId="67B0A622" w:rsidR="00C56A69" w:rsidRPr="00DD04BC" w:rsidRDefault="0007682F" w:rsidP="008E4544">
      <w:pPr>
        <w:rPr>
          <w:rFonts w:ascii="Verdana" w:hAnsi="Verdana" w:cstheme="minorHAnsi"/>
          <w:sz w:val="22"/>
          <w:szCs w:val="22"/>
          <w:lang w:val="en-GB"/>
        </w:rPr>
      </w:pPr>
      <w:r w:rsidRPr="00DD04BC">
        <w:rPr>
          <w:rFonts w:ascii="Verdana" w:hAnsi="Verdana" w:cstheme="minorHAnsi"/>
          <w:sz w:val="22"/>
          <w:szCs w:val="22"/>
          <w:lang w:val="en-GB"/>
        </w:rPr>
        <w:t>Codex</w:t>
      </w:r>
      <w:r w:rsidR="00F25D82">
        <w:rPr>
          <w:rFonts w:ascii="Verdana" w:hAnsi="Verdana" w:cstheme="minorHAnsi"/>
          <w:sz w:val="22"/>
          <w:szCs w:val="22"/>
          <w:lang w:val="en-GB"/>
        </w:rPr>
        <w:t xml:space="preserve"> is a</w:t>
      </w:r>
      <w:r w:rsidR="00F25D82" w:rsidRPr="00DD04BC">
        <w:rPr>
          <w:rFonts w:ascii="Verdana" w:hAnsi="Verdana" w:cstheme="minorHAnsi"/>
          <w:sz w:val="22"/>
          <w:szCs w:val="22"/>
          <w:lang w:val="en-GB"/>
        </w:rPr>
        <w:t xml:space="preserve"> collection of internationally recognised standards and codes of practice relating to food production and safety. </w:t>
      </w:r>
      <w:r w:rsidR="00F25D82">
        <w:rPr>
          <w:rFonts w:ascii="Verdana" w:hAnsi="Verdana" w:cstheme="minorHAnsi"/>
          <w:sz w:val="22"/>
          <w:szCs w:val="22"/>
          <w:lang w:val="en-GB"/>
        </w:rPr>
        <w:t xml:space="preserve">It </w:t>
      </w:r>
      <w:r w:rsidR="00335F72">
        <w:rPr>
          <w:rFonts w:ascii="Verdana" w:hAnsi="Verdana" w:cstheme="minorHAnsi"/>
          <w:sz w:val="22"/>
          <w:szCs w:val="22"/>
          <w:lang w:val="en-GB"/>
        </w:rPr>
        <w:t xml:space="preserve">has successfully built global consensus and common approaches to regulation across the food sector, including for food </w:t>
      </w:r>
      <w:r w:rsidRPr="00DD04BC">
        <w:rPr>
          <w:rFonts w:ascii="Verdana" w:hAnsi="Verdana" w:cstheme="minorHAnsi"/>
          <w:sz w:val="22"/>
          <w:szCs w:val="22"/>
          <w:lang w:val="en-GB"/>
        </w:rPr>
        <w:t xml:space="preserve">supplements. </w:t>
      </w:r>
      <w:r w:rsidR="00C56A69" w:rsidRPr="00DD04BC">
        <w:rPr>
          <w:rFonts w:ascii="Verdana" w:hAnsi="Verdana" w:cstheme="minorHAnsi"/>
          <w:sz w:val="22"/>
          <w:szCs w:val="22"/>
          <w:lang w:val="en-GB"/>
        </w:rPr>
        <w:t xml:space="preserve">As </w:t>
      </w:r>
      <w:r w:rsidR="00FB4788">
        <w:rPr>
          <w:rFonts w:ascii="Verdana" w:hAnsi="Verdana"/>
          <w:sz w:val="22"/>
          <w:szCs w:val="22"/>
          <w:lang w:val="en-GB"/>
        </w:rPr>
        <w:t xml:space="preserve">a </w:t>
      </w:r>
      <w:r w:rsidR="00C56A69" w:rsidRPr="00DD04BC">
        <w:rPr>
          <w:rFonts w:ascii="Verdana" w:hAnsi="Verdana"/>
          <w:sz w:val="22"/>
          <w:szCs w:val="22"/>
          <w:lang w:val="en-GB"/>
        </w:rPr>
        <w:t>Codex ‘observer’, IADSA contribute</w:t>
      </w:r>
      <w:r w:rsidR="00FB4788">
        <w:rPr>
          <w:rFonts w:ascii="Verdana" w:hAnsi="Verdana"/>
          <w:sz w:val="22"/>
          <w:szCs w:val="22"/>
          <w:lang w:val="en-GB"/>
        </w:rPr>
        <w:t>s</w:t>
      </w:r>
      <w:r w:rsidR="00C56A69" w:rsidRPr="00DD04BC">
        <w:rPr>
          <w:rFonts w:ascii="Verdana" w:hAnsi="Verdana"/>
          <w:sz w:val="22"/>
          <w:szCs w:val="22"/>
          <w:lang w:val="en-GB"/>
        </w:rPr>
        <w:t xml:space="preserve"> expertise </w:t>
      </w:r>
      <w:r w:rsidR="00BD35A4">
        <w:rPr>
          <w:rFonts w:ascii="Verdana" w:hAnsi="Verdana"/>
          <w:sz w:val="22"/>
          <w:szCs w:val="22"/>
          <w:lang w:val="en-GB"/>
        </w:rPr>
        <w:t xml:space="preserve">to </w:t>
      </w:r>
      <w:r w:rsidR="00335F72">
        <w:rPr>
          <w:rFonts w:ascii="Verdana" w:hAnsi="Verdana"/>
          <w:sz w:val="22"/>
          <w:szCs w:val="22"/>
          <w:lang w:val="en-GB"/>
        </w:rPr>
        <w:t>the work of</w:t>
      </w:r>
      <w:r w:rsidR="00335F72" w:rsidRPr="00DD04BC">
        <w:rPr>
          <w:rFonts w:ascii="Verdana" w:hAnsi="Verdana"/>
          <w:sz w:val="22"/>
          <w:szCs w:val="22"/>
          <w:lang w:val="en-GB"/>
        </w:rPr>
        <w:t xml:space="preserve"> </w:t>
      </w:r>
      <w:r w:rsidR="00C56A69" w:rsidRPr="00DD04BC">
        <w:rPr>
          <w:rFonts w:ascii="Verdana" w:hAnsi="Verdana"/>
          <w:sz w:val="22"/>
          <w:szCs w:val="22"/>
          <w:lang w:val="en-GB"/>
        </w:rPr>
        <w:t xml:space="preserve">Codex </w:t>
      </w:r>
      <w:r w:rsidR="00A73298" w:rsidRPr="00DD04BC">
        <w:rPr>
          <w:rFonts w:ascii="Verdana" w:hAnsi="Verdana"/>
          <w:sz w:val="22"/>
          <w:szCs w:val="22"/>
          <w:lang w:val="en-GB"/>
        </w:rPr>
        <w:t>c</w:t>
      </w:r>
      <w:r w:rsidR="00C56A69" w:rsidRPr="00DD04BC">
        <w:rPr>
          <w:rFonts w:ascii="Verdana" w:hAnsi="Verdana"/>
          <w:sz w:val="22"/>
          <w:szCs w:val="22"/>
          <w:lang w:val="en-GB"/>
        </w:rPr>
        <w:t>ommittees</w:t>
      </w:r>
      <w:r w:rsidR="00BD35A4">
        <w:rPr>
          <w:rFonts w:ascii="Verdana" w:hAnsi="Verdana"/>
          <w:sz w:val="22"/>
          <w:szCs w:val="22"/>
          <w:lang w:val="en-GB"/>
        </w:rPr>
        <w:t xml:space="preserve"> on issues of importance to supplements.</w:t>
      </w:r>
    </w:p>
    <w:p w14:paraId="09191500" w14:textId="77777777" w:rsidR="00C56A69" w:rsidRPr="00DD04BC" w:rsidRDefault="00C56A69" w:rsidP="008E4544">
      <w:pPr>
        <w:rPr>
          <w:rFonts w:ascii="Verdana" w:hAnsi="Verdana" w:cstheme="minorHAnsi"/>
          <w:sz w:val="22"/>
          <w:szCs w:val="22"/>
          <w:lang w:val="en-GB"/>
        </w:rPr>
      </w:pPr>
    </w:p>
    <w:p w14:paraId="224746D7" w14:textId="77777777" w:rsidR="00250750" w:rsidRPr="00BD35A4" w:rsidRDefault="0007682F" w:rsidP="006A1260">
      <w:pPr>
        <w:rPr>
          <w:rFonts w:ascii="Verdana" w:hAnsi="Verdana" w:cstheme="majorHAnsi"/>
          <w:sz w:val="22"/>
          <w:szCs w:val="22"/>
        </w:rPr>
      </w:pPr>
      <w:r w:rsidRPr="00DD04BC">
        <w:rPr>
          <w:rFonts w:ascii="Verdana" w:hAnsi="Verdana"/>
          <w:sz w:val="22"/>
          <w:szCs w:val="22"/>
          <w:lang w:val="en-GB"/>
        </w:rPr>
        <w:t xml:space="preserve">The new video </w:t>
      </w:r>
      <w:r w:rsidR="002F083D">
        <w:rPr>
          <w:rFonts w:ascii="Verdana" w:hAnsi="Verdana"/>
          <w:sz w:val="22"/>
          <w:szCs w:val="22"/>
          <w:lang w:val="en-GB"/>
        </w:rPr>
        <w:t>introduces</w:t>
      </w:r>
      <w:r w:rsidR="00335F72" w:rsidRPr="00DD04BC">
        <w:rPr>
          <w:rFonts w:ascii="Verdana" w:hAnsi="Verdana"/>
          <w:sz w:val="22"/>
          <w:szCs w:val="22"/>
          <w:lang w:val="en-GB"/>
        </w:rPr>
        <w:t xml:space="preserve"> </w:t>
      </w:r>
      <w:r w:rsidR="00E31DF8">
        <w:rPr>
          <w:rFonts w:ascii="Verdana" w:hAnsi="Verdana"/>
          <w:sz w:val="22"/>
          <w:szCs w:val="22"/>
          <w:lang w:val="en-GB"/>
        </w:rPr>
        <w:t>the</w:t>
      </w:r>
      <w:r w:rsidR="00335F72">
        <w:rPr>
          <w:rFonts w:ascii="Verdana" w:hAnsi="Verdana"/>
          <w:sz w:val="22"/>
          <w:szCs w:val="22"/>
          <w:lang w:val="en-GB"/>
        </w:rPr>
        <w:t xml:space="preserve"> </w:t>
      </w:r>
      <w:r w:rsidR="002F083D">
        <w:rPr>
          <w:rFonts w:ascii="Verdana" w:hAnsi="Verdana"/>
          <w:sz w:val="22"/>
          <w:szCs w:val="22"/>
          <w:lang w:val="en-GB"/>
        </w:rPr>
        <w:t xml:space="preserve">IADSA Guide to Codex standards, which </w:t>
      </w:r>
      <w:r w:rsidR="00250750" w:rsidRPr="00250750">
        <w:rPr>
          <w:rFonts w:ascii="Verdana" w:hAnsi="Verdana" w:cstheme="majorHAnsi"/>
          <w:sz w:val="22"/>
          <w:szCs w:val="22"/>
        </w:rPr>
        <w:t xml:space="preserve">covers the horizontal and vertical rules impacting the food supplements sector, from health claims to additives and contaminants. </w:t>
      </w:r>
      <w:r w:rsidR="002F083D">
        <w:rPr>
          <w:rFonts w:ascii="Verdana" w:hAnsi="Verdana" w:cstheme="majorHAnsi"/>
          <w:sz w:val="22"/>
          <w:szCs w:val="22"/>
        </w:rPr>
        <w:t>The Guide</w:t>
      </w:r>
      <w:r w:rsidR="00250750" w:rsidRPr="00250750">
        <w:rPr>
          <w:rFonts w:ascii="Verdana" w:hAnsi="Verdana" w:cstheme="majorHAnsi"/>
          <w:sz w:val="22"/>
          <w:szCs w:val="22"/>
        </w:rPr>
        <w:t xml:space="preserve"> </w:t>
      </w:r>
      <w:r w:rsidR="002F083D">
        <w:rPr>
          <w:rFonts w:ascii="Verdana" w:hAnsi="Verdana" w:cstheme="majorHAnsi"/>
          <w:sz w:val="22"/>
          <w:szCs w:val="22"/>
        </w:rPr>
        <w:t xml:space="preserve">also </w:t>
      </w:r>
      <w:r w:rsidR="00250750" w:rsidRPr="00250750">
        <w:rPr>
          <w:rFonts w:ascii="Verdana" w:hAnsi="Verdana" w:cstheme="majorHAnsi"/>
          <w:sz w:val="22"/>
          <w:szCs w:val="22"/>
        </w:rPr>
        <w:t>highlights how, why and when consensus was reached</w:t>
      </w:r>
      <w:r w:rsidR="002F083D">
        <w:rPr>
          <w:rFonts w:ascii="Verdana" w:hAnsi="Verdana" w:cstheme="majorHAnsi"/>
          <w:sz w:val="22"/>
          <w:szCs w:val="22"/>
        </w:rPr>
        <w:t>.</w:t>
      </w:r>
    </w:p>
    <w:p w14:paraId="23757588" w14:textId="77777777" w:rsidR="00250750" w:rsidRDefault="00250750" w:rsidP="006A1260">
      <w:pPr>
        <w:rPr>
          <w:rFonts w:ascii="Verdana" w:hAnsi="Verdana"/>
          <w:sz w:val="22"/>
          <w:szCs w:val="22"/>
          <w:lang w:val="en-GB"/>
        </w:rPr>
      </w:pPr>
    </w:p>
    <w:p w14:paraId="6C2AAA8F" w14:textId="77777777" w:rsidR="006A1260" w:rsidRPr="00DD04BC" w:rsidRDefault="002F083D" w:rsidP="006A1260">
      <w:pPr>
        <w:rPr>
          <w:rFonts w:ascii="Verdana" w:hAnsi="Verdana"/>
          <w:sz w:val="22"/>
          <w:szCs w:val="22"/>
          <w:lang w:val="en-GB"/>
        </w:rPr>
      </w:pPr>
      <w:r>
        <w:rPr>
          <w:rFonts w:ascii="Verdana" w:hAnsi="Verdana"/>
          <w:sz w:val="22"/>
          <w:szCs w:val="22"/>
          <w:lang w:val="en-GB"/>
        </w:rPr>
        <w:t>The Guide</w:t>
      </w:r>
      <w:r w:rsidR="006A1260" w:rsidRPr="00DD04BC">
        <w:rPr>
          <w:rFonts w:ascii="Verdana" w:hAnsi="Verdana" w:cstheme="minorHAnsi"/>
          <w:sz w:val="22"/>
          <w:szCs w:val="22"/>
          <w:lang w:val="en-GB"/>
        </w:rPr>
        <w:t xml:space="preserve"> is available to download at </w:t>
      </w:r>
      <w:hyperlink r:id="rId7" w:history="1">
        <w:r w:rsidR="006A1260" w:rsidRPr="00DD04BC">
          <w:rPr>
            <w:rStyle w:val="Hyperlink"/>
            <w:rFonts w:ascii="Verdana" w:hAnsi="Verdana" w:cstheme="minorHAnsi"/>
            <w:sz w:val="22"/>
            <w:szCs w:val="22"/>
          </w:rPr>
          <w:t>iadsa.org/resources/34</w:t>
        </w:r>
      </w:hyperlink>
      <w:r w:rsidR="00114482" w:rsidRPr="00DD04BC">
        <w:rPr>
          <w:rFonts w:ascii="Verdana" w:hAnsi="Verdana" w:cstheme="minorHAnsi"/>
          <w:sz w:val="22"/>
          <w:szCs w:val="22"/>
        </w:rPr>
        <w:t xml:space="preserve"> </w:t>
      </w:r>
      <w:r w:rsidR="006A1260" w:rsidRPr="00DD04BC">
        <w:rPr>
          <w:rFonts w:ascii="Verdana" w:hAnsi="Verdana" w:cstheme="minorHAnsi"/>
          <w:sz w:val="22"/>
          <w:szCs w:val="22"/>
        </w:rPr>
        <w:t xml:space="preserve">in English, French and Spanish. </w:t>
      </w:r>
    </w:p>
    <w:p w14:paraId="3BDE2D14" w14:textId="77777777" w:rsidR="00C56A69" w:rsidRPr="00DD04BC" w:rsidRDefault="00C56A69" w:rsidP="008E4544">
      <w:pPr>
        <w:rPr>
          <w:rFonts w:ascii="Verdana" w:hAnsi="Verdana" w:cstheme="minorHAnsi"/>
          <w:sz w:val="22"/>
          <w:szCs w:val="22"/>
          <w:lang w:val="en-GB"/>
        </w:rPr>
      </w:pPr>
    </w:p>
    <w:p w14:paraId="55743F4B" w14:textId="77777777" w:rsidR="00250750" w:rsidRPr="00BD35A4" w:rsidRDefault="00B46166" w:rsidP="00E82A43">
      <w:pPr>
        <w:rPr>
          <w:rFonts w:ascii="Verdana" w:hAnsi="Verdana" w:cstheme="majorHAnsi"/>
          <w:sz w:val="22"/>
          <w:szCs w:val="22"/>
          <w:lang w:val="en-GB"/>
        </w:rPr>
      </w:pPr>
      <w:r>
        <w:rPr>
          <w:rFonts w:ascii="Verdana" w:hAnsi="Verdana"/>
          <w:sz w:val="22"/>
          <w:szCs w:val="22"/>
          <w:lang w:val="en-GB"/>
        </w:rPr>
        <w:t>Launching</w:t>
      </w:r>
      <w:r w:rsidRPr="00DD04BC">
        <w:rPr>
          <w:rFonts w:ascii="Verdana" w:hAnsi="Verdana"/>
          <w:sz w:val="22"/>
          <w:szCs w:val="22"/>
          <w:lang w:val="en-GB"/>
        </w:rPr>
        <w:t xml:space="preserve"> </w:t>
      </w:r>
      <w:r w:rsidR="005117FF" w:rsidRPr="00DD04BC">
        <w:rPr>
          <w:rFonts w:ascii="Verdana" w:hAnsi="Verdana"/>
          <w:sz w:val="22"/>
          <w:szCs w:val="22"/>
          <w:lang w:val="en-GB"/>
        </w:rPr>
        <w:t>the</w:t>
      </w:r>
      <w:r w:rsidR="00E82A43" w:rsidRPr="00DD04BC">
        <w:rPr>
          <w:rFonts w:ascii="Verdana" w:hAnsi="Verdana"/>
          <w:sz w:val="22"/>
          <w:szCs w:val="22"/>
          <w:lang w:val="en-GB"/>
        </w:rPr>
        <w:t xml:space="preserve"> </w:t>
      </w:r>
      <w:r w:rsidR="002F083D">
        <w:rPr>
          <w:rFonts w:ascii="Verdana" w:hAnsi="Verdana"/>
          <w:sz w:val="22"/>
          <w:szCs w:val="22"/>
          <w:lang w:val="en-GB"/>
        </w:rPr>
        <w:t>video</w:t>
      </w:r>
      <w:r w:rsidR="00E82A43" w:rsidRPr="00DD04BC">
        <w:rPr>
          <w:rFonts w:ascii="Verdana" w:hAnsi="Verdana"/>
          <w:sz w:val="22"/>
          <w:szCs w:val="22"/>
          <w:lang w:val="en-GB"/>
        </w:rPr>
        <w:t xml:space="preserve">, </w:t>
      </w:r>
      <w:r w:rsidR="002F083D">
        <w:rPr>
          <w:rFonts w:ascii="Verdana" w:hAnsi="Verdana"/>
          <w:sz w:val="22"/>
          <w:szCs w:val="22"/>
          <w:lang w:val="en-GB"/>
        </w:rPr>
        <w:t>Steve</w:t>
      </w:r>
      <w:r w:rsidR="0007682F" w:rsidRPr="00DD04BC">
        <w:rPr>
          <w:rFonts w:ascii="Verdana" w:hAnsi="Verdana"/>
          <w:sz w:val="22"/>
          <w:szCs w:val="22"/>
          <w:lang w:val="en-GB"/>
        </w:rPr>
        <w:t xml:space="preserve"> Wearne said</w:t>
      </w:r>
      <w:r w:rsidR="00E82A43" w:rsidRPr="00DD04BC">
        <w:rPr>
          <w:rFonts w:ascii="Verdana" w:hAnsi="Verdana"/>
          <w:sz w:val="22"/>
          <w:szCs w:val="22"/>
          <w:lang w:val="en-GB"/>
        </w:rPr>
        <w:t>:</w:t>
      </w:r>
      <w:r w:rsidR="00E82A43" w:rsidRPr="00DD04BC">
        <w:rPr>
          <w:rFonts w:ascii="Verdana" w:hAnsi="Verdana" w:cs="Arial"/>
          <w:sz w:val="22"/>
          <w:szCs w:val="22"/>
          <w:lang w:val="en-GB"/>
        </w:rPr>
        <w:t xml:space="preserve"> “</w:t>
      </w:r>
      <w:r w:rsidR="00E82A43" w:rsidRPr="00DD04BC">
        <w:rPr>
          <w:rFonts w:ascii="Verdana" w:hAnsi="Verdana" w:cstheme="majorHAnsi"/>
          <w:sz w:val="22"/>
          <w:szCs w:val="22"/>
          <w:lang w:val="en-GB"/>
        </w:rPr>
        <w:t>I’d like to congratulate IADSA on the production of this short video and of the IADSA guide to relevant Codex texts that it references. I can think of no better example of a Codex observer organisation taking a lead in helping us to deliver our strategic goal of increasing impact through the recognition and use of Codex standards.”</w:t>
      </w:r>
    </w:p>
    <w:p w14:paraId="67ACF0B8" w14:textId="77777777" w:rsidR="0007682F" w:rsidRDefault="0007682F" w:rsidP="0007682F">
      <w:pPr>
        <w:rPr>
          <w:rFonts w:ascii="Verdana" w:hAnsi="Verdana" w:cstheme="majorHAnsi"/>
          <w:sz w:val="22"/>
          <w:szCs w:val="22"/>
        </w:rPr>
      </w:pPr>
    </w:p>
    <w:p w14:paraId="709B9FD4" w14:textId="77777777" w:rsidR="008E4544" w:rsidRPr="00DD04BC" w:rsidRDefault="008E4544" w:rsidP="008E4544">
      <w:pPr>
        <w:rPr>
          <w:rFonts w:ascii="Verdana" w:hAnsi="Verdana"/>
          <w:sz w:val="22"/>
          <w:szCs w:val="22"/>
          <w:lang w:val="en-GB"/>
        </w:rPr>
      </w:pPr>
      <w:r w:rsidRPr="00DD04BC">
        <w:rPr>
          <w:rFonts w:ascii="Verdana" w:hAnsi="Verdana"/>
          <w:sz w:val="22"/>
          <w:szCs w:val="22"/>
          <w:lang w:val="en-GB"/>
        </w:rPr>
        <w:t xml:space="preserve">Simon Pettman, IADSA’s Executive Director, </w:t>
      </w:r>
      <w:r w:rsidR="0007682F" w:rsidRPr="00DD04BC">
        <w:rPr>
          <w:rFonts w:ascii="Verdana" w:hAnsi="Verdana"/>
          <w:sz w:val="22"/>
          <w:szCs w:val="22"/>
          <w:lang w:val="en-GB"/>
        </w:rPr>
        <w:t>added</w:t>
      </w:r>
      <w:r w:rsidRPr="00DD04BC">
        <w:rPr>
          <w:rFonts w:ascii="Verdana" w:hAnsi="Verdana"/>
          <w:sz w:val="22"/>
          <w:szCs w:val="22"/>
          <w:lang w:val="en-GB"/>
        </w:rPr>
        <w:t xml:space="preserve">: “Codex Alimentarius is very important for consumers, </w:t>
      </w:r>
      <w:r w:rsidR="002F083D">
        <w:rPr>
          <w:rFonts w:ascii="Verdana" w:hAnsi="Verdana"/>
          <w:sz w:val="22"/>
          <w:szCs w:val="22"/>
          <w:lang w:val="en-GB"/>
        </w:rPr>
        <w:t xml:space="preserve">policymakers and </w:t>
      </w:r>
      <w:r w:rsidRPr="00DD04BC">
        <w:rPr>
          <w:rFonts w:ascii="Verdana" w:hAnsi="Verdana"/>
          <w:sz w:val="22"/>
          <w:szCs w:val="22"/>
          <w:lang w:val="en-GB"/>
        </w:rPr>
        <w:t xml:space="preserve">businesses. Our new video will help us to increase awareness of this and highlight how consideration of </w:t>
      </w:r>
      <w:r w:rsidR="00B46166">
        <w:rPr>
          <w:rFonts w:ascii="Verdana" w:hAnsi="Verdana"/>
          <w:sz w:val="22"/>
          <w:szCs w:val="22"/>
          <w:lang w:val="en-GB"/>
        </w:rPr>
        <w:t xml:space="preserve">the wide range of </w:t>
      </w:r>
      <w:r w:rsidRPr="00DD04BC">
        <w:rPr>
          <w:rFonts w:ascii="Verdana" w:hAnsi="Verdana"/>
          <w:sz w:val="22"/>
          <w:szCs w:val="22"/>
          <w:lang w:val="en-GB"/>
        </w:rPr>
        <w:t xml:space="preserve">Codex texts is crucial when it comes to formulating approaches to </w:t>
      </w:r>
      <w:r w:rsidR="00B46166">
        <w:rPr>
          <w:rFonts w:ascii="Verdana" w:hAnsi="Verdana"/>
          <w:sz w:val="22"/>
          <w:szCs w:val="22"/>
          <w:lang w:val="en-GB"/>
        </w:rPr>
        <w:t xml:space="preserve">food supplement </w:t>
      </w:r>
      <w:r w:rsidRPr="00DD04BC">
        <w:rPr>
          <w:rFonts w:ascii="Verdana" w:hAnsi="Verdana"/>
          <w:sz w:val="22"/>
          <w:szCs w:val="22"/>
          <w:lang w:val="en-GB"/>
        </w:rPr>
        <w:t>regulation.”</w:t>
      </w:r>
    </w:p>
    <w:p w14:paraId="1D4F71D1" w14:textId="77777777" w:rsidR="0007682F" w:rsidRPr="00DD04BC" w:rsidRDefault="0007682F" w:rsidP="0066704A">
      <w:pPr>
        <w:rPr>
          <w:rFonts w:ascii="Verdana" w:hAnsi="Verdana"/>
          <w:sz w:val="22"/>
          <w:szCs w:val="22"/>
        </w:rPr>
      </w:pPr>
    </w:p>
    <w:p w14:paraId="0BCE24B0" w14:textId="77777777" w:rsidR="0066704A" w:rsidRPr="00DD04BC" w:rsidRDefault="0066704A" w:rsidP="0066704A">
      <w:pPr>
        <w:rPr>
          <w:rFonts w:ascii="Verdana" w:hAnsi="Verdana"/>
          <w:sz w:val="22"/>
          <w:szCs w:val="22"/>
          <w:lang w:val="en-GB"/>
        </w:rPr>
      </w:pPr>
      <w:r w:rsidRPr="00DD04BC">
        <w:rPr>
          <w:rFonts w:ascii="Verdana" w:eastAsia="Times New Roman" w:hAnsi="Verdana" w:cs="Times New Roman"/>
          <w:sz w:val="22"/>
          <w:szCs w:val="22"/>
          <w:shd w:val="clear" w:color="auto" w:fill="FFFFFF"/>
          <w:lang w:val="en-GB"/>
        </w:rPr>
        <w:t xml:space="preserve">Based in London, IADSA is the international association of the food supplement sector. Visit </w:t>
      </w:r>
      <w:hyperlink r:id="rId8" w:history="1">
        <w:r w:rsidRPr="00DD04BC">
          <w:rPr>
            <w:rStyle w:val="Hyperlink"/>
            <w:rFonts w:ascii="Verdana" w:eastAsia="Times New Roman" w:hAnsi="Verdana" w:cs="Times New Roman"/>
            <w:color w:val="auto"/>
            <w:sz w:val="22"/>
            <w:szCs w:val="22"/>
            <w:shd w:val="clear" w:color="auto" w:fill="FFFFFF"/>
            <w:lang w:val="en-GB"/>
          </w:rPr>
          <w:t>iadsa.org</w:t>
        </w:r>
      </w:hyperlink>
      <w:r w:rsidRPr="00DD04BC">
        <w:rPr>
          <w:rFonts w:ascii="Verdana" w:eastAsia="Times New Roman" w:hAnsi="Verdana" w:cs="Times New Roman"/>
          <w:sz w:val="22"/>
          <w:szCs w:val="22"/>
          <w:shd w:val="clear" w:color="auto" w:fill="FFFFFF"/>
          <w:lang w:val="en-GB"/>
        </w:rPr>
        <w:t xml:space="preserve"> for more information.</w:t>
      </w:r>
    </w:p>
    <w:p w14:paraId="172CF812" w14:textId="77777777" w:rsidR="00805E52" w:rsidRPr="00B514D9" w:rsidRDefault="00805E52" w:rsidP="0066704A">
      <w:pPr>
        <w:rPr>
          <w:rFonts w:ascii="Verdana" w:hAnsi="Verdana"/>
          <w:sz w:val="22"/>
          <w:szCs w:val="22"/>
          <w:lang w:val="en-GB"/>
        </w:rPr>
      </w:pPr>
    </w:p>
    <w:p w14:paraId="3335812A" w14:textId="77777777" w:rsidR="0066704A" w:rsidRPr="0007682F" w:rsidRDefault="0066704A" w:rsidP="0007682F">
      <w:pPr>
        <w:jc w:val="center"/>
        <w:rPr>
          <w:rFonts w:ascii="Verdana" w:hAnsi="Verdana"/>
          <w:b/>
          <w:sz w:val="22"/>
          <w:szCs w:val="22"/>
          <w:lang w:val="en-GB"/>
        </w:rPr>
      </w:pPr>
      <w:r w:rsidRPr="00B514D9">
        <w:rPr>
          <w:rFonts w:ascii="Verdana" w:hAnsi="Verdana"/>
          <w:b/>
          <w:sz w:val="22"/>
          <w:szCs w:val="22"/>
          <w:lang w:val="en-GB"/>
        </w:rPr>
        <w:t>ENDS</w:t>
      </w:r>
    </w:p>
    <w:p w14:paraId="4B5A8BBA" w14:textId="77777777" w:rsidR="00F25D82" w:rsidRDefault="00F25D82" w:rsidP="0066704A">
      <w:pPr>
        <w:rPr>
          <w:rFonts w:ascii="Verdana" w:hAnsi="Verdana"/>
          <w:b/>
          <w:sz w:val="22"/>
          <w:szCs w:val="22"/>
          <w:lang w:val="en-GB"/>
        </w:rPr>
      </w:pPr>
    </w:p>
    <w:p w14:paraId="3966D16C" w14:textId="7EE2516C" w:rsidR="0066704A" w:rsidRPr="00B514D9" w:rsidRDefault="0066704A" w:rsidP="0066704A">
      <w:pPr>
        <w:rPr>
          <w:rFonts w:ascii="Verdana" w:hAnsi="Verdana"/>
          <w:b/>
          <w:sz w:val="22"/>
          <w:szCs w:val="22"/>
          <w:lang w:val="en-GB"/>
        </w:rPr>
      </w:pPr>
      <w:r w:rsidRPr="00B514D9">
        <w:rPr>
          <w:rFonts w:ascii="Verdana" w:hAnsi="Verdana"/>
          <w:b/>
          <w:sz w:val="22"/>
          <w:szCs w:val="22"/>
          <w:lang w:val="en-GB"/>
        </w:rPr>
        <w:lastRenderedPageBreak/>
        <w:t>For more information, please contact:</w:t>
      </w:r>
    </w:p>
    <w:p w14:paraId="387CFA32" w14:textId="77777777" w:rsidR="0066704A" w:rsidRPr="00B514D9" w:rsidRDefault="0066704A" w:rsidP="0066704A">
      <w:pPr>
        <w:rPr>
          <w:rFonts w:ascii="Verdana" w:hAnsi="Verdana"/>
          <w:sz w:val="22"/>
          <w:szCs w:val="22"/>
          <w:lang w:val="en-GB"/>
        </w:rPr>
      </w:pPr>
      <w:r w:rsidRPr="00B514D9">
        <w:rPr>
          <w:rFonts w:ascii="Verdana" w:hAnsi="Verdana"/>
          <w:sz w:val="22"/>
          <w:szCs w:val="22"/>
          <w:lang w:val="en-GB"/>
        </w:rPr>
        <w:t>Richard Clarke, Ingredient Communications</w:t>
      </w:r>
    </w:p>
    <w:p w14:paraId="2D972176" w14:textId="77777777" w:rsidR="0066704A" w:rsidRPr="00B514D9" w:rsidRDefault="0066704A" w:rsidP="0066704A">
      <w:pPr>
        <w:rPr>
          <w:rFonts w:ascii="Verdana" w:hAnsi="Verdana" w:cs="Helvetica"/>
          <w:sz w:val="22"/>
          <w:szCs w:val="22"/>
          <w:lang w:val="en-GB"/>
        </w:rPr>
      </w:pPr>
      <w:r w:rsidRPr="00B514D9">
        <w:rPr>
          <w:rFonts w:ascii="Verdana" w:hAnsi="Verdana"/>
          <w:sz w:val="22"/>
          <w:szCs w:val="22"/>
          <w:lang w:val="en-GB"/>
        </w:rPr>
        <w:t xml:space="preserve">Tel: +44 </w:t>
      </w:r>
      <w:r w:rsidR="00966CA4">
        <w:rPr>
          <w:rFonts w:ascii="Verdana" w:hAnsi="Verdana" w:cs="Helvetica"/>
          <w:sz w:val="22"/>
          <w:szCs w:val="22"/>
          <w:lang w:val="en-GB"/>
        </w:rPr>
        <w:t>(0) 7766 256176</w:t>
      </w:r>
    </w:p>
    <w:p w14:paraId="19EB88C8" w14:textId="77777777" w:rsidR="0066704A" w:rsidRPr="00B514D9" w:rsidRDefault="0066704A" w:rsidP="0066704A">
      <w:pPr>
        <w:rPr>
          <w:rFonts w:ascii="Verdana" w:hAnsi="Verdana"/>
          <w:sz w:val="22"/>
          <w:szCs w:val="22"/>
          <w:lang w:val="en-GB"/>
        </w:rPr>
      </w:pPr>
      <w:r w:rsidRPr="00B514D9">
        <w:rPr>
          <w:rFonts w:ascii="Verdana" w:hAnsi="Verdana"/>
          <w:sz w:val="22"/>
          <w:szCs w:val="22"/>
          <w:lang w:val="en-GB"/>
        </w:rPr>
        <w:t xml:space="preserve">Email: </w:t>
      </w:r>
      <w:hyperlink r:id="rId9" w:history="1">
        <w:r w:rsidRPr="00B514D9">
          <w:rPr>
            <w:rStyle w:val="Hyperlink"/>
            <w:rFonts w:ascii="Verdana" w:hAnsi="Verdana"/>
            <w:sz w:val="22"/>
            <w:szCs w:val="22"/>
            <w:lang w:val="en-GB"/>
          </w:rPr>
          <w:t>richard@ingredientcommunications.com</w:t>
        </w:r>
      </w:hyperlink>
    </w:p>
    <w:p w14:paraId="7BEB1D1F" w14:textId="77777777" w:rsidR="0066704A" w:rsidRPr="00B514D9" w:rsidRDefault="0066704A" w:rsidP="0066704A">
      <w:pPr>
        <w:rPr>
          <w:rFonts w:ascii="Verdana" w:hAnsi="Verdana"/>
          <w:sz w:val="22"/>
          <w:szCs w:val="22"/>
          <w:lang w:val="en-GB"/>
        </w:rPr>
      </w:pPr>
    </w:p>
    <w:p w14:paraId="05C91E82" w14:textId="77777777" w:rsidR="0066704A" w:rsidRPr="00B514D9" w:rsidRDefault="0066704A" w:rsidP="0066704A">
      <w:pPr>
        <w:rPr>
          <w:rFonts w:ascii="Verdana" w:hAnsi="Verdana"/>
          <w:b/>
          <w:sz w:val="22"/>
          <w:szCs w:val="22"/>
          <w:lang w:val="en-GB"/>
        </w:rPr>
      </w:pPr>
      <w:r w:rsidRPr="00B514D9">
        <w:rPr>
          <w:rFonts w:ascii="Verdana" w:hAnsi="Verdana"/>
          <w:b/>
          <w:sz w:val="22"/>
          <w:szCs w:val="22"/>
          <w:lang w:val="en-GB"/>
        </w:rPr>
        <w:t>About IADSA</w:t>
      </w:r>
    </w:p>
    <w:p w14:paraId="0FA4189A" w14:textId="77777777" w:rsidR="0066704A" w:rsidRPr="00B514D9" w:rsidRDefault="0066704A" w:rsidP="0066704A">
      <w:pPr>
        <w:rPr>
          <w:rFonts w:ascii="Verdana" w:eastAsia="Times New Roman" w:hAnsi="Verdana" w:cs="Times New Roman"/>
          <w:sz w:val="22"/>
          <w:szCs w:val="22"/>
          <w:lang w:val="en-GB"/>
        </w:rPr>
      </w:pPr>
      <w:r w:rsidRPr="00B514D9">
        <w:rPr>
          <w:rFonts w:ascii="Verdana" w:hAnsi="Verdana"/>
          <w:sz w:val="22"/>
          <w:szCs w:val="22"/>
          <w:lang w:val="en-GB"/>
        </w:rPr>
        <w:t xml:space="preserve">Established in 1998, IADSA </w:t>
      </w:r>
      <w:r w:rsidRPr="00B514D9">
        <w:rPr>
          <w:rFonts w:ascii="Verdana" w:eastAsia="Times New Roman" w:hAnsi="Verdana" w:cs="Times New Roman"/>
          <w:sz w:val="22"/>
          <w:szCs w:val="22"/>
          <w:shd w:val="clear" w:color="auto" w:fill="FFFFFF"/>
          <w:lang w:val="en-GB"/>
        </w:rPr>
        <w:t>is an international body comprising member associations and companies operating in the global supplements sector. </w:t>
      </w:r>
      <w:r w:rsidRPr="00B514D9">
        <w:rPr>
          <w:rFonts w:ascii="Verdana" w:hAnsi="Verdana"/>
          <w:sz w:val="22"/>
          <w:szCs w:val="22"/>
          <w:lang w:val="en-GB"/>
        </w:rPr>
        <w:t xml:space="preserve">Bringing together food supplement associations from six continents, </w:t>
      </w:r>
      <w:r w:rsidRPr="00B514D9">
        <w:rPr>
          <w:rFonts w:ascii="Verdana" w:eastAsia="Times New Roman" w:hAnsi="Verdana" w:cs="Times New Roman"/>
          <w:sz w:val="22"/>
          <w:szCs w:val="22"/>
          <w:lang w:val="en-GB"/>
        </w:rPr>
        <w:t xml:space="preserve">IADSA </w:t>
      </w:r>
      <w:r w:rsidRPr="00B514D9">
        <w:rPr>
          <w:rFonts w:ascii="Verdana" w:hAnsi="Verdana"/>
          <w:sz w:val="22"/>
          <w:szCs w:val="22"/>
          <w:lang w:val="en-GB"/>
        </w:rPr>
        <w:t>is a trusted source of information and runs regional and national regulatory, scientific and technical programmes in many parts of the world, supporting and advising governments and other stakeholders in relation to the development and implementation of regulation and policy. IADSA also works with companies and authorities to build national associations in countries where they do not already exist. IADSA’s full name is International Alliance of Dietary/Food Supplement Associations.</w:t>
      </w:r>
    </w:p>
    <w:p w14:paraId="25508857" w14:textId="77777777" w:rsidR="00D15AED" w:rsidRPr="00B514D9" w:rsidRDefault="00D15AED" w:rsidP="00FD0494">
      <w:pPr>
        <w:rPr>
          <w:rFonts w:ascii="Verdana" w:eastAsia="Times New Roman" w:hAnsi="Verdana" w:cs="Times New Roman"/>
          <w:sz w:val="22"/>
          <w:szCs w:val="22"/>
          <w:lang w:val="en-GB"/>
        </w:rPr>
      </w:pPr>
    </w:p>
    <w:p w14:paraId="1D8B3485" w14:textId="77777777" w:rsidR="00983253" w:rsidRPr="00B514D9" w:rsidRDefault="00983253" w:rsidP="007A7E89">
      <w:pPr>
        <w:rPr>
          <w:rFonts w:ascii="Verdana" w:eastAsia="Times New Roman" w:hAnsi="Verdana" w:cs="Times New Roman"/>
          <w:sz w:val="22"/>
          <w:szCs w:val="22"/>
          <w:lang w:val="en-GB"/>
        </w:rPr>
      </w:pPr>
    </w:p>
    <w:sectPr w:rsidR="00983253" w:rsidRPr="00B514D9" w:rsidSect="00A2552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81A13"/>
    <w:multiLevelType w:val="multilevel"/>
    <w:tmpl w:val="25E0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922FCF"/>
    <w:multiLevelType w:val="hybridMultilevel"/>
    <w:tmpl w:val="CF02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C76006"/>
    <w:multiLevelType w:val="hybridMultilevel"/>
    <w:tmpl w:val="10B4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5A4"/>
    <w:rsid w:val="0001004F"/>
    <w:rsid w:val="000317EB"/>
    <w:rsid w:val="000323FB"/>
    <w:rsid w:val="00045FF6"/>
    <w:rsid w:val="0005238E"/>
    <w:rsid w:val="00055758"/>
    <w:rsid w:val="0007682F"/>
    <w:rsid w:val="000A379F"/>
    <w:rsid w:val="000A4A4C"/>
    <w:rsid w:val="000C63D3"/>
    <w:rsid w:val="000F1A23"/>
    <w:rsid w:val="00113327"/>
    <w:rsid w:val="00114482"/>
    <w:rsid w:val="0015278C"/>
    <w:rsid w:val="00154B99"/>
    <w:rsid w:val="00182AFA"/>
    <w:rsid w:val="001B6F5C"/>
    <w:rsid w:val="001C5E58"/>
    <w:rsid w:val="001D22A0"/>
    <w:rsid w:val="001E5856"/>
    <w:rsid w:val="0021528C"/>
    <w:rsid w:val="00233FEA"/>
    <w:rsid w:val="00244452"/>
    <w:rsid w:val="00247816"/>
    <w:rsid w:val="00250750"/>
    <w:rsid w:val="002B529B"/>
    <w:rsid w:val="002C7D7B"/>
    <w:rsid w:val="002E0947"/>
    <w:rsid w:val="002E504E"/>
    <w:rsid w:val="002F083D"/>
    <w:rsid w:val="00301B2C"/>
    <w:rsid w:val="0030471B"/>
    <w:rsid w:val="00333D72"/>
    <w:rsid w:val="00335F72"/>
    <w:rsid w:val="003817FC"/>
    <w:rsid w:val="004314E5"/>
    <w:rsid w:val="00445D3E"/>
    <w:rsid w:val="00447C74"/>
    <w:rsid w:val="00485DB5"/>
    <w:rsid w:val="00492F49"/>
    <w:rsid w:val="005117FF"/>
    <w:rsid w:val="00522975"/>
    <w:rsid w:val="005547CE"/>
    <w:rsid w:val="005A22D0"/>
    <w:rsid w:val="005B4176"/>
    <w:rsid w:val="005D0CEE"/>
    <w:rsid w:val="005D60D7"/>
    <w:rsid w:val="005F5289"/>
    <w:rsid w:val="00656B61"/>
    <w:rsid w:val="00664D61"/>
    <w:rsid w:val="0066704A"/>
    <w:rsid w:val="006A1260"/>
    <w:rsid w:val="006B46E2"/>
    <w:rsid w:val="006C10B8"/>
    <w:rsid w:val="006F67A1"/>
    <w:rsid w:val="007334CE"/>
    <w:rsid w:val="007457DD"/>
    <w:rsid w:val="00761E60"/>
    <w:rsid w:val="00767D92"/>
    <w:rsid w:val="007972DC"/>
    <w:rsid w:val="00797F84"/>
    <w:rsid w:val="007A243C"/>
    <w:rsid w:val="007A58F5"/>
    <w:rsid w:val="007A7E89"/>
    <w:rsid w:val="007B14A5"/>
    <w:rsid w:val="007B1A70"/>
    <w:rsid w:val="00805E52"/>
    <w:rsid w:val="0081097F"/>
    <w:rsid w:val="00812417"/>
    <w:rsid w:val="00816C4A"/>
    <w:rsid w:val="0082454D"/>
    <w:rsid w:val="008403FF"/>
    <w:rsid w:val="00874FA4"/>
    <w:rsid w:val="00892EB9"/>
    <w:rsid w:val="008A09D6"/>
    <w:rsid w:val="008C659A"/>
    <w:rsid w:val="008E4544"/>
    <w:rsid w:val="008F2784"/>
    <w:rsid w:val="00917422"/>
    <w:rsid w:val="00950B4F"/>
    <w:rsid w:val="009547DE"/>
    <w:rsid w:val="00961622"/>
    <w:rsid w:val="00966CA4"/>
    <w:rsid w:val="00970365"/>
    <w:rsid w:val="009818B8"/>
    <w:rsid w:val="00983253"/>
    <w:rsid w:val="00995EB2"/>
    <w:rsid w:val="009B51FB"/>
    <w:rsid w:val="009C4E3D"/>
    <w:rsid w:val="009E0467"/>
    <w:rsid w:val="009E10E9"/>
    <w:rsid w:val="009E2F09"/>
    <w:rsid w:val="00A00285"/>
    <w:rsid w:val="00A25520"/>
    <w:rsid w:val="00A607EB"/>
    <w:rsid w:val="00A6231C"/>
    <w:rsid w:val="00A662C2"/>
    <w:rsid w:val="00A73298"/>
    <w:rsid w:val="00A839C8"/>
    <w:rsid w:val="00AC6D69"/>
    <w:rsid w:val="00AE6101"/>
    <w:rsid w:val="00AF2A0F"/>
    <w:rsid w:val="00AF47EE"/>
    <w:rsid w:val="00B00F4D"/>
    <w:rsid w:val="00B1495C"/>
    <w:rsid w:val="00B1548C"/>
    <w:rsid w:val="00B16EDD"/>
    <w:rsid w:val="00B217EB"/>
    <w:rsid w:val="00B46166"/>
    <w:rsid w:val="00B514D9"/>
    <w:rsid w:val="00B8736A"/>
    <w:rsid w:val="00BA4165"/>
    <w:rsid w:val="00BB558F"/>
    <w:rsid w:val="00BB71C4"/>
    <w:rsid w:val="00BD35A4"/>
    <w:rsid w:val="00BE4266"/>
    <w:rsid w:val="00BE5D69"/>
    <w:rsid w:val="00C07C27"/>
    <w:rsid w:val="00C176B4"/>
    <w:rsid w:val="00C249C0"/>
    <w:rsid w:val="00C3558A"/>
    <w:rsid w:val="00C525A8"/>
    <w:rsid w:val="00C55A74"/>
    <w:rsid w:val="00C56A69"/>
    <w:rsid w:val="00CA7C8E"/>
    <w:rsid w:val="00CC4A22"/>
    <w:rsid w:val="00CD284A"/>
    <w:rsid w:val="00CD5FA3"/>
    <w:rsid w:val="00D00C17"/>
    <w:rsid w:val="00D14A1E"/>
    <w:rsid w:val="00D15AED"/>
    <w:rsid w:val="00D21871"/>
    <w:rsid w:val="00D32029"/>
    <w:rsid w:val="00D50B4D"/>
    <w:rsid w:val="00D84D91"/>
    <w:rsid w:val="00D953F2"/>
    <w:rsid w:val="00DB5979"/>
    <w:rsid w:val="00DD04BC"/>
    <w:rsid w:val="00E07C72"/>
    <w:rsid w:val="00E105EB"/>
    <w:rsid w:val="00E20382"/>
    <w:rsid w:val="00E214CE"/>
    <w:rsid w:val="00E31DF8"/>
    <w:rsid w:val="00E6683D"/>
    <w:rsid w:val="00E82A43"/>
    <w:rsid w:val="00E8706C"/>
    <w:rsid w:val="00E97B44"/>
    <w:rsid w:val="00F03CB6"/>
    <w:rsid w:val="00F25D82"/>
    <w:rsid w:val="00F46245"/>
    <w:rsid w:val="00F57D9D"/>
    <w:rsid w:val="00F7367E"/>
    <w:rsid w:val="00FB4788"/>
    <w:rsid w:val="00FB5639"/>
    <w:rsid w:val="00FC1DED"/>
    <w:rsid w:val="00FD0494"/>
    <w:rsid w:val="00FD2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6615C"/>
  <w14:defaultImageDpi w14:val="300"/>
  <w15:docId w15:val="{D055525B-C5C0-8845-96C1-F74DDB9E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558A"/>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558A"/>
    <w:rPr>
      <w:rFonts w:ascii="Times" w:hAnsi="Times"/>
      <w:b/>
      <w:bCs/>
      <w:sz w:val="27"/>
      <w:szCs w:val="27"/>
      <w:lang w:val="en-GB"/>
    </w:rPr>
  </w:style>
  <w:style w:type="paragraph" w:styleId="BalloonText">
    <w:name w:val="Balloon Text"/>
    <w:basedOn w:val="Normal"/>
    <w:link w:val="BalloonTextChar"/>
    <w:uiPriority w:val="99"/>
    <w:semiHidden/>
    <w:unhideWhenUsed/>
    <w:rsid w:val="00D14A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A1E"/>
    <w:rPr>
      <w:rFonts w:ascii="Lucida Grande" w:hAnsi="Lucida Grande" w:cs="Lucida Grande"/>
      <w:sz w:val="18"/>
      <w:szCs w:val="18"/>
    </w:rPr>
  </w:style>
  <w:style w:type="character" w:styleId="Hyperlink">
    <w:name w:val="Hyperlink"/>
    <w:uiPriority w:val="99"/>
    <w:semiHidden/>
    <w:rsid w:val="00995EB2"/>
    <w:rPr>
      <w:color w:val="0000FF"/>
      <w:u w:val="single"/>
    </w:rPr>
  </w:style>
  <w:style w:type="paragraph" w:styleId="NormalWeb">
    <w:name w:val="Normal (Web)"/>
    <w:basedOn w:val="Normal"/>
    <w:uiPriority w:val="99"/>
    <w:semiHidden/>
    <w:unhideWhenUsed/>
    <w:rsid w:val="00D50B4D"/>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D50B4D"/>
  </w:style>
  <w:style w:type="paragraph" w:styleId="ListParagraph">
    <w:name w:val="List Paragraph"/>
    <w:basedOn w:val="Normal"/>
    <w:uiPriority w:val="34"/>
    <w:qFormat/>
    <w:rsid w:val="00D50B4D"/>
    <w:pPr>
      <w:ind w:left="720"/>
      <w:contextualSpacing/>
    </w:pPr>
  </w:style>
  <w:style w:type="character" w:styleId="UnresolvedMention">
    <w:name w:val="Unresolved Mention"/>
    <w:basedOn w:val="DefaultParagraphFont"/>
    <w:uiPriority w:val="99"/>
    <w:semiHidden/>
    <w:unhideWhenUsed/>
    <w:rsid w:val="00816C4A"/>
    <w:rPr>
      <w:color w:val="605E5C"/>
      <w:shd w:val="clear" w:color="auto" w:fill="E1DFDD"/>
    </w:rPr>
  </w:style>
  <w:style w:type="character" w:styleId="FollowedHyperlink">
    <w:name w:val="FollowedHyperlink"/>
    <w:basedOn w:val="DefaultParagraphFont"/>
    <w:uiPriority w:val="99"/>
    <w:semiHidden/>
    <w:unhideWhenUsed/>
    <w:rsid w:val="00816C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962216">
      <w:bodyDiv w:val="1"/>
      <w:marLeft w:val="0"/>
      <w:marRight w:val="0"/>
      <w:marTop w:val="0"/>
      <w:marBottom w:val="0"/>
      <w:divBdr>
        <w:top w:val="none" w:sz="0" w:space="0" w:color="auto"/>
        <w:left w:val="none" w:sz="0" w:space="0" w:color="auto"/>
        <w:bottom w:val="none" w:sz="0" w:space="0" w:color="auto"/>
        <w:right w:val="none" w:sz="0" w:space="0" w:color="auto"/>
      </w:divBdr>
    </w:div>
    <w:div w:id="648629480">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42534627">
      <w:bodyDiv w:val="1"/>
      <w:marLeft w:val="0"/>
      <w:marRight w:val="0"/>
      <w:marTop w:val="0"/>
      <w:marBottom w:val="0"/>
      <w:divBdr>
        <w:top w:val="none" w:sz="0" w:space="0" w:color="auto"/>
        <w:left w:val="none" w:sz="0" w:space="0" w:color="auto"/>
        <w:bottom w:val="none" w:sz="0" w:space="0" w:color="auto"/>
        <w:right w:val="none" w:sz="0" w:space="0" w:color="auto"/>
      </w:divBdr>
    </w:div>
    <w:div w:id="843978697">
      <w:bodyDiv w:val="1"/>
      <w:marLeft w:val="0"/>
      <w:marRight w:val="0"/>
      <w:marTop w:val="0"/>
      <w:marBottom w:val="0"/>
      <w:divBdr>
        <w:top w:val="none" w:sz="0" w:space="0" w:color="auto"/>
        <w:left w:val="none" w:sz="0" w:space="0" w:color="auto"/>
        <w:bottom w:val="none" w:sz="0" w:space="0" w:color="auto"/>
        <w:right w:val="none" w:sz="0" w:space="0" w:color="auto"/>
      </w:divBdr>
    </w:div>
    <w:div w:id="931353739">
      <w:bodyDiv w:val="1"/>
      <w:marLeft w:val="0"/>
      <w:marRight w:val="0"/>
      <w:marTop w:val="0"/>
      <w:marBottom w:val="0"/>
      <w:divBdr>
        <w:top w:val="none" w:sz="0" w:space="0" w:color="auto"/>
        <w:left w:val="none" w:sz="0" w:space="0" w:color="auto"/>
        <w:bottom w:val="none" w:sz="0" w:space="0" w:color="auto"/>
        <w:right w:val="none" w:sz="0" w:space="0" w:color="auto"/>
      </w:divBdr>
    </w:div>
    <w:div w:id="1051539812">
      <w:bodyDiv w:val="1"/>
      <w:marLeft w:val="0"/>
      <w:marRight w:val="0"/>
      <w:marTop w:val="0"/>
      <w:marBottom w:val="0"/>
      <w:divBdr>
        <w:top w:val="none" w:sz="0" w:space="0" w:color="auto"/>
        <w:left w:val="none" w:sz="0" w:space="0" w:color="auto"/>
        <w:bottom w:val="none" w:sz="0" w:space="0" w:color="auto"/>
        <w:right w:val="none" w:sz="0" w:space="0" w:color="auto"/>
      </w:divBdr>
    </w:div>
    <w:div w:id="1465077872">
      <w:bodyDiv w:val="1"/>
      <w:marLeft w:val="0"/>
      <w:marRight w:val="0"/>
      <w:marTop w:val="0"/>
      <w:marBottom w:val="0"/>
      <w:divBdr>
        <w:top w:val="none" w:sz="0" w:space="0" w:color="auto"/>
        <w:left w:val="none" w:sz="0" w:space="0" w:color="auto"/>
        <w:bottom w:val="none" w:sz="0" w:space="0" w:color="auto"/>
        <w:right w:val="none" w:sz="0" w:space="0" w:color="auto"/>
      </w:divBdr>
    </w:div>
    <w:div w:id="1522663525">
      <w:bodyDiv w:val="1"/>
      <w:marLeft w:val="0"/>
      <w:marRight w:val="0"/>
      <w:marTop w:val="0"/>
      <w:marBottom w:val="0"/>
      <w:divBdr>
        <w:top w:val="none" w:sz="0" w:space="0" w:color="auto"/>
        <w:left w:val="none" w:sz="0" w:space="0" w:color="auto"/>
        <w:bottom w:val="none" w:sz="0" w:space="0" w:color="auto"/>
        <w:right w:val="none" w:sz="0" w:space="0" w:color="auto"/>
      </w:divBdr>
    </w:div>
    <w:div w:id="1609695490">
      <w:bodyDiv w:val="1"/>
      <w:marLeft w:val="0"/>
      <w:marRight w:val="0"/>
      <w:marTop w:val="0"/>
      <w:marBottom w:val="0"/>
      <w:divBdr>
        <w:top w:val="none" w:sz="0" w:space="0" w:color="auto"/>
        <w:left w:val="none" w:sz="0" w:space="0" w:color="auto"/>
        <w:bottom w:val="none" w:sz="0" w:space="0" w:color="auto"/>
        <w:right w:val="none" w:sz="0" w:space="0" w:color="auto"/>
      </w:divBdr>
    </w:div>
    <w:div w:id="1697384000">
      <w:bodyDiv w:val="1"/>
      <w:marLeft w:val="0"/>
      <w:marRight w:val="0"/>
      <w:marTop w:val="0"/>
      <w:marBottom w:val="0"/>
      <w:divBdr>
        <w:top w:val="none" w:sz="0" w:space="0" w:color="auto"/>
        <w:left w:val="none" w:sz="0" w:space="0" w:color="auto"/>
        <w:bottom w:val="none" w:sz="0" w:space="0" w:color="auto"/>
        <w:right w:val="none" w:sz="0" w:space="0" w:color="auto"/>
      </w:divBdr>
    </w:div>
    <w:div w:id="1818263106">
      <w:bodyDiv w:val="1"/>
      <w:marLeft w:val="0"/>
      <w:marRight w:val="0"/>
      <w:marTop w:val="0"/>
      <w:marBottom w:val="0"/>
      <w:divBdr>
        <w:top w:val="none" w:sz="0" w:space="0" w:color="auto"/>
        <w:left w:val="none" w:sz="0" w:space="0" w:color="auto"/>
        <w:bottom w:val="none" w:sz="0" w:space="0" w:color="auto"/>
        <w:right w:val="none" w:sz="0" w:space="0" w:color="auto"/>
      </w:divBdr>
    </w:div>
    <w:div w:id="1867789868">
      <w:bodyDiv w:val="1"/>
      <w:marLeft w:val="0"/>
      <w:marRight w:val="0"/>
      <w:marTop w:val="0"/>
      <w:marBottom w:val="0"/>
      <w:divBdr>
        <w:top w:val="none" w:sz="0" w:space="0" w:color="auto"/>
        <w:left w:val="none" w:sz="0" w:space="0" w:color="auto"/>
        <w:bottom w:val="none" w:sz="0" w:space="0" w:color="auto"/>
        <w:right w:val="none" w:sz="0" w:space="0" w:color="auto"/>
      </w:divBdr>
    </w:div>
    <w:div w:id="1900096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dsa.org/" TargetMode="External"/><Relationship Id="rId3" Type="http://schemas.openxmlformats.org/officeDocument/2006/relationships/settings" Target="settings.xml"/><Relationship Id="rId7" Type="http://schemas.openxmlformats.org/officeDocument/2006/relationships/hyperlink" Target="https://www.iadsa.org/resources/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adsa.org/resources/34"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chard@ingredientcommunication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chardclarke/Desktop/Press%20release%20&#8211;%20IADSA%20vide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Press release – IADSA video.dotx</Template>
  <TotalTime>10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Clarke</cp:lastModifiedBy>
  <cp:revision>4</cp:revision>
  <cp:lastPrinted>2020-06-04T10:12:00Z</cp:lastPrinted>
  <dcterms:created xsi:type="dcterms:W3CDTF">2020-06-08T11:05:00Z</dcterms:created>
  <dcterms:modified xsi:type="dcterms:W3CDTF">2020-06-12T08:26:00Z</dcterms:modified>
</cp:coreProperties>
</file>